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5E995" w14:textId="77777777" w:rsidR="00A47DD3" w:rsidRPr="00A47DD3" w:rsidRDefault="00A47DD3" w:rsidP="00A47DD3">
      <w:pPr>
        <w:rPr>
          <w:rFonts w:ascii="Calibri" w:hAnsi="Calibri" w:cs="Calibri"/>
          <w:b/>
          <w:bCs/>
          <w:sz w:val="22"/>
          <w:szCs w:val="22"/>
        </w:rPr>
      </w:pPr>
      <w:r w:rsidRPr="00A47DD3">
        <w:rPr>
          <w:rFonts w:ascii="Calibri" w:hAnsi="Calibri" w:cs="Calibri"/>
          <w:b/>
          <w:bCs/>
          <w:sz w:val="22"/>
          <w:szCs w:val="22"/>
        </w:rPr>
        <w:t>Fathering Across Cultures Website – Video Transcript</w:t>
      </w:r>
    </w:p>
    <w:p w14:paraId="422449E7" w14:textId="77777777" w:rsidR="00A47DD3" w:rsidRPr="00A47DD3" w:rsidRDefault="00A47DD3" w:rsidP="00A47DD3">
      <w:pPr>
        <w:rPr>
          <w:rFonts w:ascii="Calibri" w:hAnsi="Calibri" w:cs="Calibri"/>
          <w:b/>
          <w:bCs/>
          <w:sz w:val="22"/>
          <w:szCs w:val="22"/>
        </w:rPr>
      </w:pPr>
    </w:p>
    <w:p w14:paraId="24A37DEA" w14:textId="140351E2" w:rsidR="00527851" w:rsidRPr="00A47DD3" w:rsidRDefault="00527851" w:rsidP="00A47DD3">
      <w:pPr>
        <w:rPr>
          <w:rFonts w:ascii="Calibri" w:hAnsi="Calibri" w:cs="Calibri"/>
          <w:b/>
          <w:bCs/>
          <w:sz w:val="22"/>
          <w:szCs w:val="22"/>
        </w:rPr>
      </w:pPr>
      <w:proofErr w:type="spellStart"/>
      <w:r w:rsidRPr="00A47DD3">
        <w:rPr>
          <w:rFonts w:ascii="Calibri" w:hAnsi="Calibri" w:cs="Calibri"/>
          <w:b/>
          <w:bCs/>
          <w:sz w:val="22"/>
          <w:szCs w:val="22"/>
        </w:rPr>
        <w:t>Zouheir</w:t>
      </w:r>
      <w:proofErr w:type="spellEnd"/>
      <w:r w:rsidRPr="00A47DD3">
        <w:rPr>
          <w:rFonts w:ascii="Calibri" w:hAnsi="Calibri" w:cs="Calibri"/>
          <w:b/>
          <w:bCs/>
          <w:sz w:val="22"/>
          <w:szCs w:val="22"/>
        </w:rPr>
        <w:t xml:space="preserve"> </w:t>
      </w:r>
      <w:proofErr w:type="spellStart"/>
      <w:r w:rsidRPr="00A47DD3">
        <w:rPr>
          <w:rFonts w:ascii="Calibri" w:hAnsi="Calibri" w:cs="Calibri"/>
          <w:b/>
          <w:bCs/>
          <w:sz w:val="22"/>
          <w:szCs w:val="22"/>
        </w:rPr>
        <w:t>Dalati</w:t>
      </w:r>
      <w:proofErr w:type="spellEnd"/>
      <w:r w:rsidRPr="00A47DD3">
        <w:rPr>
          <w:rFonts w:ascii="Calibri" w:hAnsi="Calibri" w:cs="Calibri"/>
          <w:b/>
          <w:bCs/>
          <w:sz w:val="22"/>
          <w:szCs w:val="22"/>
        </w:rPr>
        <w:t>, Community Liaison Officer, Legal Aid Commission (ACT)</w:t>
      </w:r>
      <w:bookmarkStart w:id="0" w:name="_GoBack"/>
      <w:bookmarkEnd w:id="0"/>
    </w:p>
    <w:p w14:paraId="24A37DEA" w14:textId="140351E2" w:rsidR="00A47DD3" w:rsidRPr="00A47DD3" w:rsidRDefault="00A47DD3" w:rsidP="00A47DD3">
      <w:pPr>
        <w:rPr>
          <w:rFonts w:ascii="Calibri" w:hAnsi="Calibri" w:cs="Calibri"/>
          <w:sz w:val="22"/>
          <w:szCs w:val="22"/>
        </w:rPr>
      </w:pPr>
      <w:r w:rsidRPr="00A47DD3">
        <w:rPr>
          <w:rFonts w:ascii="Calibri" w:hAnsi="Calibri" w:cs="Calibri"/>
          <w:sz w:val="22"/>
          <w:szCs w:val="22"/>
        </w:rPr>
        <w:t>The key issue in addressing issues of family violence is to achieve a greater acceptance of the broadest definition of such violence</w:t>
      </w:r>
      <w:r w:rsidRPr="00A47DD3">
        <w:rPr>
          <w:rFonts w:ascii="Calibri" w:hAnsi="Calibri" w:cs="Calibri"/>
          <w:sz w:val="22"/>
          <w:szCs w:val="22"/>
        </w:rPr>
        <w:t xml:space="preserve"> </w:t>
      </w:r>
      <w:r w:rsidRPr="00A47DD3">
        <w:rPr>
          <w:rFonts w:ascii="Calibri" w:hAnsi="Calibri" w:cs="Calibri"/>
          <w:sz w:val="22"/>
          <w:szCs w:val="22"/>
        </w:rPr>
        <w:t>the definition of violence against women is far broader than just physical violence.</w:t>
      </w:r>
    </w:p>
    <w:p w14:paraId="2F224084" w14:textId="77777777" w:rsidR="00A47DD3" w:rsidRPr="00A47DD3" w:rsidRDefault="00A47DD3" w:rsidP="00A47DD3">
      <w:pPr>
        <w:rPr>
          <w:rFonts w:ascii="Calibri" w:hAnsi="Calibri" w:cs="Calibri"/>
          <w:sz w:val="22"/>
          <w:szCs w:val="22"/>
        </w:rPr>
      </w:pPr>
    </w:p>
    <w:p w14:paraId="5011DEDF" w14:textId="77777777" w:rsidR="00A47DD3" w:rsidRPr="00A47DD3" w:rsidRDefault="00A47DD3" w:rsidP="00A47DD3">
      <w:pPr>
        <w:rPr>
          <w:rFonts w:ascii="Calibri" w:hAnsi="Calibri" w:cs="Calibri"/>
          <w:sz w:val="22"/>
          <w:szCs w:val="22"/>
        </w:rPr>
      </w:pPr>
      <w:r w:rsidRPr="00A47DD3">
        <w:rPr>
          <w:rFonts w:ascii="Calibri" w:hAnsi="Calibri" w:cs="Calibri"/>
          <w:sz w:val="22"/>
          <w:szCs w:val="22"/>
        </w:rPr>
        <w:t xml:space="preserve">It includes all forms of violence that women experience, including physical, sexual, emotional, cultural/spiritual violence and financial abuse, that are gender based. </w:t>
      </w:r>
    </w:p>
    <w:p w14:paraId="589FDF76" w14:textId="77777777" w:rsidR="00A47DD3" w:rsidRPr="00A47DD3" w:rsidRDefault="00A47DD3" w:rsidP="00A47DD3">
      <w:pPr>
        <w:rPr>
          <w:rFonts w:ascii="Calibri" w:hAnsi="Calibri" w:cs="Calibri"/>
          <w:sz w:val="22"/>
          <w:szCs w:val="22"/>
        </w:rPr>
      </w:pPr>
    </w:p>
    <w:p w14:paraId="084C9287" w14:textId="77777777" w:rsidR="00A47DD3" w:rsidRPr="00A47DD3" w:rsidRDefault="00A47DD3" w:rsidP="00A47DD3">
      <w:pPr>
        <w:rPr>
          <w:rFonts w:ascii="Calibri" w:hAnsi="Calibri" w:cs="Calibri"/>
          <w:sz w:val="22"/>
          <w:szCs w:val="22"/>
        </w:rPr>
      </w:pPr>
      <w:r w:rsidRPr="00A47DD3">
        <w:rPr>
          <w:rFonts w:ascii="Calibri" w:hAnsi="Calibri" w:cs="Calibri"/>
          <w:sz w:val="22"/>
          <w:szCs w:val="22"/>
        </w:rPr>
        <w:t>It can occur in homes, in social and recreational contexts, on the street, in workplaces, schools or online, and at the hands of perpetrators either known or unknown to the victim.</w:t>
      </w:r>
    </w:p>
    <w:p w14:paraId="7C9E04A7" w14:textId="77777777" w:rsidR="00A47DD3" w:rsidRPr="00A47DD3" w:rsidRDefault="00A47DD3" w:rsidP="00A47DD3">
      <w:pPr>
        <w:rPr>
          <w:rFonts w:ascii="Calibri" w:hAnsi="Calibri" w:cs="Calibri"/>
          <w:sz w:val="22"/>
          <w:szCs w:val="22"/>
        </w:rPr>
      </w:pPr>
    </w:p>
    <w:p w14:paraId="55258309" w14:textId="77777777" w:rsidR="00A47DD3" w:rsidRPr="00A47DD3" w:rsidRDefault="00A47DD3" w:rsidP="00A47DD3">
      <w:pPr>
        <w:rPr>
          <w:rFonts w:ascii="Calibri" w:hAnsi="Calibri" w:cs="Calibri"/>
          <w:sz w:val="22"/>
          <w:szCs w:val="22"/>
        </w:rPr>
      </w:pPr>
      <w:r w:rsidRPr="00A47DD3">
        <w:rPr>
          <w:rFonts w:ascii="Calibri" w:hAnsi="Calibri" w:cs="Calibri"/>
          <w:sz w:val="22"/>
          <w:szCs w:val="22"/>
        </w:rPr>
        <w:t>It is in these nonphysical forms that this violence is most contested in cultural terms. The key concept of coercive control which is it that the centre of understanding violence against women may be framed in some cultures as our right as defined in fatherhood, or being the man of the house, or being the ultimate authority.</w:t>
      </w:r>
    </w:p>
    <w:p w14:paraId="1B20E097" w14:textId="77777777" w:rsidR="00A47DD3" w:rsidRPr="00A47DD3" w:rsidRDefault="00A47DD3" w:rsidP="00A47DD3">
      <w:pPr>
        <w:rPr>
          <w:rFonts w:ascii="Calibri" w:hAnsi="Calibri" w:cs="Calibri"/>
          <w:sz w:val="22"/>
          <w:szCs w:val="22"/>
        </w:rPr>
      </w:pPr>
    </w:p>
    <w:p w14:paraId="5754BF0B" w14:textId="77777777" w:rsidR="00A47DD3" w:rsidRPr="00A47DD3" w:rsidRDefault="00A47DD3" w:rsidP="00A47DD3">
      <w:pPr>
        <w:rPr>
          <w:rFonts w:ascii="Calibri" w:hAnsi="Calibri" w:cs="Calibri"/>
          <w:sz w:val="22"/>
          <w:szCs w:val="22"/>
        </w:rPr>
      </w:pPr>
      <w:r w:rsidRPr="00A47DD3">
        <w:rPr>
          <w:rFonts w:ascii="Calibri" w:hAnsi="Calibri" w:cs="Calibri"/>
          <w:sz w:val="22"/>
          <w:szCs w:val="22"/>
        </w:rPr>
        <w:t>In an Australian legal environment, it is imperative that these discussions are able to take place and that men are given the space and the information to understand their responsibilities and protections that the law affords women and children.</w:t>
      </w:r>
    </w:p>
    <w:p w14:paraId="6932000E" w14:textId="77777777" w:rsidR="00A47DD3" w:rsidRPr="00A47DD3" w:rsidRDefault="00A47DD3" w:rsidP="00A47DD3">
      <w:pPr>
        <w:rPr>
          <w:rFonts w:ascii="Calibri" w:hAnsi="Calibri" w:cs="Calibri"/>
          <w:sz w:val="22"/>
          <w:szCs w:val="22"/>
        </w:rPr>
      </w:pPr>
    </w:p>
    <w:p w14:paraId="3E390AFA" w14:textId="77777777" w:rsidR="00A47DD3" w:rsidRPr="00A47DD3" w:rsidRDefault="00A47DD3" w:rsidP="00A47DD3">
      <w:pPr>
        <w:rPr>
          <w:rFonts w:ascii="Calibri" w:hAnsi="Calibri" w:cs="Calibri"/>
          <w:sz w:val="22"/>
          <w:szCs w:val="22"/>
        </w:rPr>
      </w:pPr>
      <w:r w:rsidRPr="00A47DD3">
        <w:rPr>
          <w:rFonts w:ascii="Calibri" w:hAnsi="Calibri" w:cs="Calibri"/>
          <w:sz w:val="22"/>
          <w:szCs w:val="22"/>
        </w:rPr>
        <w:t>It is incumbent on us to argue in a culturally acceptable way that this behaviour is unacceptable and that it ultimately does harm to the wife and children in families.</w:t>
      </w:r>
    </w:p>
    <w:p w14:paraId="2D66F642" w14:textId="77777777" w:rsidR="00A47DD3" w:rsidRPr="00A47DD3" w:rsidRDefault="00A47DD3" w:rsidP="00A47DD3">
      <w:pPr>
        <w:rPr>
          <w:rFonts w:ascii="Calibri" w:hAnsi="Calibri" w:cs="Calibri"/>
          <w:sz w:val="22"/>
          <w:szCs w:val="22"/>
        </w:rPr>
      </w:pPr>
    </w:p>
    <w:p w14:paraId="620208DB" w14:textId="77777777" w:rsidR="00A47DD3" w:rsidRPr="00A47DD3" w:rsidRDefault="00A47DD3" w:rsidP="00A47DD3">
      <w:pPr>
        <w:rPr>
          <w:rFonts w:ascii="Calibri" w:hAnsi="Calibri" w:cs="Calibri"/>
          <w:sz w:val="22"/>
          <w:szCs w:val="22"/>
        </w:rPr>
      </w:pPr>
      <w:r w:rsidRPr="00A47DD3">
        <w:rPr>
          <w:rFonts w:ascii="Calibri" w:hAnsi="Calibri" w:cs="Calibri"/>
          <w:sz w:val="22"/>
          <w:szCs w:val="22"/>
        </w:rPr>
        <w:t>The Australian law does not discriminate on the basis of culture, and this should be the core of communications to you young fathers about their responsibilities and the laws that protect their wives and children. Legal responses to violence will not occur because of someone’s culture, they will occur because of the violence that is inflicted by the individual on their wife or children.</w:t>
      </w:r>
    </w:p>
    <w:p w14:paraId="031AB352" w14:textId="77777777" w:rsidR="00A47DD3" w:rsidRPr="00A47DD3" w:rsidRDefault="00A47DD3" w:rsidP="00A47DD3">
      <w:pPr>
        <w:rPr>
          <w:rFonts w:ascii="Calibri" w:hAnsi="Calibri" w:cs="Calibri"/>
          <w:sz w:val="22"/>
          <w:szCs w:val="22"/>
        </w:rPr>
      </w:pPr>
    </w:p>
    <w:p w14:paraId="325E0AA3" w14:textId="77777777" w:rsidR="00A47DD3" w:rsidRPr="00A47DD3" w:rsidRDefault="00A47DD3" w:rsidP="00A47DD3">
      <w:pPr>
        <w:rPr>
          <w:rFonts w:ascii="Calibri" w:hAnsi="Calibri" w:cs="Calibri"/>
          <w:sz w:val="22"/>
          <w:szCs w:val="22"/>
        </w:rPr>
      </w:pPr>
      <w:r w:rsidRPr="00A47DD3">
        <w:rPr>
          <w:rFonts w:ascii="Calibri" w:hAnsi="Calibri" w:cs="Calibri"/>
          <w:sz w:val="22"/>
          <w:szCs w:val="22"/>
        </w:rPr>
        <w:t>It is about setting a standard for all people in Australia that acts to protect those most vulnerable, as well as promote the type of respectful behaviour necessary for strong and loving relationships.</w:t>
      </w:r>
    </w:p>
    <w:p w:rsidR="00527851" w:rsidRPr="00A47DD3" w:rsidRDefault="00527851" w:rsidP="00A47DD3">
      <w:pPr>
        <w:rPr>
          <w:rFonts w:ascii="Calibri" w:hAnsi="Calibri" w:cs="Calibri"/>
          <w:sz w:val="22"/>
          <w:szCs w:val="22"/>
        </w:rPr>
      </w:pPr>
    </w:p>
    <w:sectPr w:rsidR="00527851" w:rsidRPr="00A47DD3" w:rsidSect="00F13A01">
      <w:pgSz w:w="11900" w:h="16840"/>
      <w:pgMar w:top="1440" w:right="1332" w:bottom="1440" w:left="13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B9E"/>
    <w:rsid w:val="00245F80"/>
    <w:rsid w:val="00471B9E"/>
    <w:rsid w:val="00527851"/>
    <w:rsid w:val="005F424A"/>
    <w:rsid w:val="00A47D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B935F11"/>
  <w14:defaultImageDpi w14:val="32767"/>
  <w15:chartTrackingRefBased/>
  <w15:docId w15:val="{F14BD204-87D7-0243-B25A-5D941D2E6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F13A01"/>
    <w:rPr>
      <w:rFonts w:ascii="Consolas" w:hAnsi="Consolas" w:cs="Consolas"/>
      <w:sz w:val="21"/>
      <w:szCs w:val="21"/>
    </w:rPr>
  </w:style>
  <w:style w:type="character" w:customStyle="1" w:styleId="PlainTextChar">
    <w:name w:val="Plain Text Char"/>
    <w:basedOn w:val="DefaultParagraphFont"/>
    <w:link w:val="PlainText"/>
    <w:uiPriority w:val="99"/>
    <w:rsid w:val="00F13A01"/>
    <w:rPr>
      <w:rFonts w:ascii="Consolas" w:hAnsi="Consolas" w:cs="Consolas"/>
      <w:sz w:val="21"/>
      <w:szCs w:val="21"/>
    </w:rPr>
  </w:style>
  <w:style w:type="paragraph" w:styleId="ListParagraph">
    <w:name w:val="List Paragraph"/>
    <w:basedOn w:val="Normal"/>
    <w:uiPriority w:val="34"/>
    <w:qFormat/>
    <w:rsid w:val="00A47DD3"/>
    <w:pPr>
      <w:spacing w:after="160" w:line="259" w:lineRule="auto"/>
      <w:ind w:left="720"/>
      <w:contextualSpacing/>
    </w:pPr>
    <w:rPr>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2019-08-05T05:42:00Z</dcterms:created>
  <dcterms:modified xsi:type="dcterms:W3CDTF">2019-08-05T05:44:00Z</dcterms:modified>
</cp:coreProperties>
</file>